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65FBA2" w14:textId="282D45BA" w:rsidR="00E2729D" w:rsidRPr="009D7A71" w:rsidRDefault="00527202">
      <w:pPr>
        <w:pStyle w:val="Heading1"/>
        <w:rPr>
          <w:rFonts w:asciiTheme="majorHAnsi" w:hAnsiTheme="majorHAnsi"/>
          <w:sz w:val="32"/>
          <w:szCs w:val="32"/>
        </w:rPr>
      </w:pPr>
      <w:proofErr w:type="spellStart"/>
      <w:r w:rsidRPr="009D7A71">
        <w:rPr>
          <w:rFonts w:asciiTheme="majorHAnsi" w:hAnsiTheme="majorHAnsi"/>
          <w:sz w:val="32"/>
          <w:szCs w:val="32"/>
        </w:rPr>
        <w:t>SolverTable</w:t>
      </w:r>
      <w:proofErr w:type="spellEnd"/>
      <w:r w:rsidRPr="009D7A71">
        <w:rPr>
          <w:rFonts w:asciiTheme="majorHAnsi" w:hAnsiTheme="majorHAnsi"/>
          <w:sz w:val="32"/>
          <w:szCs w:val="32"/>
        </w:rPr>
        <w:t xml:space="preserve"> </w:t>
      </w:r>
      <w:r w:rsidR="0050214B">
        <w:rPr>
          <w:rFonts w:asciiTheme="majorHAnsi" w:hAnsiTheme="majorHAnsi"/>
          <w:sz w:val="32"/>
          <w:szCs w:val="32"/>
        </w:rPr>
        <w:t xml:space="preserve">for Mac </w:t>
      </w:r>
      <w:r w:rsidRPr="009D7A71">
        <w:rPr>
          <w:rFonts w:asciiTheme="majorHAnsi" w:hAnsiTheme="majorHAnsi"/>
          <w:sz w:val="32"/>
          <w:szCs w:val="32"/>
        </w:rPr>
        <w:t>add-in</w:t>
      </w:r>
      <w:r w:rsidR="003D6D6A" w:rsidRPr="009D7A71">
        <w:rPr>
          <w:rFonts w:asciiTheme="majorHAnsi" w:hAnsiTheme="majorHAnsi"/>
          <w:sz w:val="32"/>
          <w:szCs w:val="32"/>
        </w:rPr>
        <w:t xml:space="preserve"> for Ex</w:t>
      </w:r>
      <w:r w:rsidR="0050214B">
        <w:rPr>
          <w:rFonts w:asciiTheme="majorHAnsi" w:hAnsiTheme="majorHAnsi"/>
          <w:sz w:val="32"/>
          <w:szCs w:val="32"/>
        </w:rPr>
        <w:t>cel</w:t>
      </w:r>
    </w:p>
    <w:p w14:paraId="42735ADB" w14:textId="2A9A3213" w:rsidR="00E2729D" w:rsidRDefault="00527202">
      <w:pPr>
        <w:pStyle w:val="NormalWeb"/>
      </w:pPr>
      <w:r>
        <w:t>This add-in is a natural extension to the Solver add-in developed by Frontline Systems. SolverTable performs sensitivity analysis for an Excel optimization model, and, in most cases, its output is more relevant and understandable than the optional sensitivity output provided by Solver itself.</w:t>
      </w:r>
    </w:p>
    <w:p w14:paraId="5E7157B4" w14:textId="77777777" w:rsidR="00E2729D" w:rsidRDefault="00527202">
      <w:pPr>
        <w:pStyle w:val="NormalWeb"/>
      </w:pPr>
      <w:r>
        <w:t>SolverTable is very easy to use, as I describe below. All it requires is an existing optimization model. That is, there must be a spreadsheet model already built, Solver must be installed</w:t>
      </w:r>
      <w:r w:rsidR="009060CF">
        <w:t>, and the Solver settings for the model should be in place</w:t>
      </w:r>
      <w:r>
        <w:t xml:space="preserve">. This document explains how to use SolverTable, and it illustrates the procedure with several screen shots. </w:t>
      </w:r>
    </w:p>
    <w:p w14:paraId="3D3E6D8E" w14:textId="77777777" w:rsidR="00E2729D" w:rsidRDefault="00527202">
      <w:pPr>
        <w:pStyle w:val="Heading2"/>
        <w:rPr>
          <w:rFonts w:eastAsia="Times New Roman"/>
        </w:rPr>
      </w:pPr>
      <w:r>
        <w:rPr>
          <w:rFonts w:eastAsia="Times New Roman"/>
        </w:rPr>
        <w:t>Sections of this Help file</w:t>
      </w:r>
    </w:p>
    <w:p w14:paraId="1EFDC046" w14:textId="77777777" w:rsidR="00E2729D" w:rsidRDefault="00F322E0">
      <w:pPr>
        <w:numPr>
          <w:ilvl w:val="0"/>
          <w:numId w:val="3"/>
        </w:numPr>
        <w:spacing w:before="100" w:beforeAutospacing="1" w:after="100" w:afterAutospacing="1"/>
        <w:rPr>
          <w:rFonts w:eastAsia="Times New Roman"/>
        </w:rPr>
      </w:pPr>
      <w:hyperlink w:anchor="_Versions_of_SolverTable" w:history="1">
        <w:r w:rsidR="00527202">
          <w:rPr>
            <w:rStyle w:val="Hyperlink"/>
            <w:rFonts w:eastAsia="Times New Roman"/>
          </w:rPr>
          <w:t>Versions of SolverTable</w:t>
        </w:r>
      </w:hyperlink>
    </w:p>
    <w:p w14:paraId="07C5EF30" w14:textId="77777777" w:rsidR="00E2729D" w:rsidRDefault="00F322E0">
      <w:pPr>
        <w:numPr>
          <w:ilvl w:val="0"/>
          <w:numId w:val="3"/>
        </w:numPr>
        <w:spacing w:before="100" w:beforeAutospacing="1" w:after="100" w:afterAutospacing="1"/>
        <w:rPr>
          <w:rFonts w:eastAsia="Times New Roman"/>
        </w:rPr>
      </w:pPr>
      <w:hyperlink w:anchor="Load" w:history="1">
        <w:r w:rsidR="00527202">
          <w:rPr>
            <w:rStyle w:val="Hyperlink"/>
            <w:rFonts w:eastAsia="Times New Roman"/>
          </w:rPr>
          <w:t>Loading SolverTable</w:t>
        </w:r>
      </w:hyperlink>
      <w:r w:rsidR="00527202">
        <w:rPr>
          <w:rFonts w:eastAsia="Times New Roman"/>
        </w:rPr>
        <w:t xml:space="preserve"> </w:t>
      </w:r>
    </w:p>
    <w:p w14:paraId="4F75A8ED" w14:textId="77777777" w:rsidR="00E2729D" w:rsidRDefault="00F322E0">
      <w:pPr>
        <w:numPr>
          <w:ilvl w:val="0"/>
          <w:numId w:val="3"/>
        </w:numPr>
        <w:spacing w:before="100" w:beforeAutospacing="1" w:after="100" w:afterAutospacing="1"/>
        <w:rPr>
          <w:rFonts w:eastAsia="Times New Roman"/>
        </w:rPr>
      </w:pPr>
      <w:hyperlink w:anchor="Unload" w:history="1">
        <w:r w:rsidR="00527202">
          <w:rPr>
            <w:rStyle w:val="Hyperlink"/>
            <w:rFonts w:eastAsia="Times New Roman"/>
          </w:rPr>
          <w:t>Unloading SolverTable</w:t>
        </w:r>
      </w:hyperlink>
    </w:p>
    <w:p w14:paraId="6FDE778B" w14:textId="77777777" w:rsidR="00E2729D" w:rsidRDefault="00F322E0">
      <w:pPr>
        <w:numPr>
          <w:ilvl w:val="0"/>
          <w:numId w:val="3"/>
        </w:numPr>
        <w:spacing w:before="100" w:beforeAutospacing="1" w:after="100" w:afterAutospacing="1"/>
        <w:rPr>
          <w:rFonts w:eastAsia="Times New Roman"/>
        </w:rPr>
      </w:pPr>
      <w:hyperlink w:anchor="Example" w:history="1">
        <w:r w:rsidR="00527202">
          <w:rPr>
            <w:rStyle w:val="Hyperlink"/>
            <w:rFonts w:eastAsia="Times New Roman"/>
          </w:rPr>
          <w:t>An example file</w:t>
        </w:r>
      </w:hyperlink>
      <w:r w:rsidR="00527202">
        <w:rPr>
          <w:rFonts w:eastAsia="Times New Roman"/>
        </w:rPr>
        <w:t xml:space="preserve"> </w:t>
      </w:r>
    </w:p>
    <w:p w14:paraId="449CFB78" w14:textId="77777777" w:rsidR="00E2729D" w:rsidRDefault="00F322E0">
      <w:pPr>
        <w:numPr>
          <w:ilvl w:val="0"/>
          <w:numId w:val="3"/>
        </w:numPr>
        <w:spacing w:before="100" w:beforeAutospacing="1" w:after="100" w:afterAutospacing="1"/>
        <w:rPr>
          <w:rFonts w:eastAsia="Times New Roman"/>
        </w:rPr>
      </w:pPr>
      <w:hyperlink w:anchor="Running" w:history="1">
        <w:r w:rsidR="00527202">
          <w:rPr>
            <w:rStyle w:val="Hyperlink"/>
            <w:rFonts w:eastAsia="Times New Roman"/>
          </w:rPr>
          <w:t>Running SolverTable</w:t>
        </w:r>
      </w:hyperlink>
      <w:r w:rsidR="00527202">
        <w:rPr>
          <w:rFonts w:eastAsia="Times New Roman"/>
        </w:rPr>
        <w:t xml:space="preserve"> </w:t>
      </w:r>
    </w:p>
    <w:p w14:paraId="5567FAB1" w14:textId="29F24E24" w:rsidR="00E2729D" w:rsidRDefault="00F322E0">
      <w:pPr>
        <w:numPr>
          <w:ilvl w:val="1"/>
          <w:numId w:val="3"/>
        </w:numPr>
        <w:spacing w:before="100" w:beforeAutospacing="1" w:after="100" w:afterAutospacing="1"/>
        <w:rPr>
          <w:rFonts w:eastAsia="Times New Roman"/>
        </w:rPr>
      </w:pPr>
      <w:hyperlink w:anchor="Oneway" w:history="1">
        <w:r w:rsidR="00527202">
          <w:rPr>
            <w:rStyle w:val="Hyperlink"/>
            <w:rFonts w:eastAsia="Times New Roman"/>
          </w:rPr>
          <w:t xml:space="preserve">Creating a </w:t>
        </w:r>
        <w:proofErr w:type="spellStart"/>
        <w:r w:rsidR="00527202">
          <w:rPr>
            <w:rStyle w:val="Hyperlink"/>
            <w:rFonts w:eastAsia="Times New Roman"/>
          </w:rPr>
          <w:t>on</w:t>
        </w:r>
        <w:r w:rsidR="00527202">
          <w:rPr>
            <w:rStyle w:val="Hyperlink"/>
            <w:rFonts w:eastAsia="Times New Roman"/>
          </w:rPr>
          <w:t>e</w:t>
        </w:r>
        <w:r w:rsidR="00527202">
          <w:rPr>
            <w:rStyle w:val="Hyperlink"/>
            <w:rFonts w:eastAsia="Times New Roman"/>
          </w:rPr>
          <w:t>way</w:t>
        </w:r>
        <w:proofErr w:type="spellEnd"/>
        <w:r w:rsidR="00527202">
          <w:rPr>
            <w:rStyle w:val="Hyperlink"/>
            <w:rFonts w:eastAsia="Times New Roman"/>
          </w:rPr>
          <w:t xml:space="preserve"> table</w:t>
        </w:r>
      </w:hyperlink>
      <w:r w:rsidR="00527202">
        <w:rPr>
          <w:rFonts w:eastAsia="Times New Roman"/>
        </w:rPr>
        <w:t xml:space="preserve"> </w:t>
      </w:r>
    </w:p>
    <w:p w14:paraId="110938D0" w14:textId="4FAC7C6A" w:rsidR="00E2729D" w:rsidRDefault="00F322E0">
      <w:pPr>
        <w:numPr>
          <w:ilvl w:val="1"/>
          <w:numId w:val="3"/>
        </w:numPr>
        <w:spacing w:before="100" w:beforeAutospacing="1" w:after="100" w:afterAutospacing="1"/>
        <w:rPr>
          <w:rFonts w:eastAsia="Times New Roman"/>
        </w:rPr>
      </w:pPr>
      <w:hyperlink w:anchor="Twoway" w:history="1">
        <w:r w:rsidR="00527202">
          <w:rPr>
            <w:rStyle w:val="Hyperlink"/>
            <w:rFonts w:eastAsia="Times New Roman"/>
          </w:rPr>
          <w:t xml:space="preserve">Creating a </w:t>
        </w:r>
        <w:proofErr w:type="spellStart"/>
        <w:r w:rsidR="00527202">
          <w:rPr>
            <w:rStyle w:val="Hyperlink"/>
            <w:rFonts w:eastAsia="Times New Roman"/>
          </w:rPr>
          <w:t>two</w:t>
        </w:r>
        <w:r w:rsidR="00527202">
          <w:rPr>
            <w:rStyle w:val="Hyperlink"/>
            <w:rFonts w:eastAsia="Times New Roman"/>
          </w:rPr>
          <w:t>w</w:t>
        </w:r>
        <w:r w:rsidR="00527202">
          <w:rPr>
            <w:rStyle w:val="Hyperlink"/>
            <w:rFonts w:eastAsia="Times New Roman"/>
          </w:rPr>
          <w:t>ay</w:t>
        </w:r>
        <w:proofErr w:type="spellEnd"/>
        <w:r w:rsidR="00527202">
          <w:rPr>
            <w:rStyle w:val="Hyperlink"/>
            <w:rFonts w:eastAsia="Times New Roman"/>
          </w:rPr>
          <w:t xml:space="preserve"> table</w:t>
        </w:r>
      </w:hyperlink>
      <w:r w:rsidR="00527202">
        <w:rPr>
          <w:rFonts w:eastAsia="Times New Roman"/>
        </w:rPr>
        <w:t xml:space="preserve"> </w:t>
      </w:r>
    </w:p>
    <w:p w14:paraId="73684F68" w14:textId="77777777" w:rsidR="00E2729D" w:rsidRDefault="00F322E0">
      <w:pPr>
        <w:numPr>
          <w:ilvl w:val="0"/>
          <w:numId w:val="3"/>
        </w:numPr>
        <w:spacing w:before="100" w:beforeAutospacing="1" w:after="100" w:afterAutospacing="1"/>
        <w:rPr>
          <w:rFonts w:eastAsia="Times New Roman"/>
        </w:rPr>
      </w:pPr>
      <w:hyperlink w:anchor="Other_notes" w:history="1">
        <w:r w:rsidR="00527202">
          <w:rPr>
            <w:rStyle w:val="Hyperlink"/>
            <w:rFonts w:eastAsia="Times New Roman"/>
          </w:rPr>
          <w:t>Other Notes</w:t>
        </w:r>
      </w:hyperlink>
    </w:p>
    <w:p w14:paraId="03BB385A" w14:textId="77777777" w:rsidR="00E2729D" w:rsidRDefault="00527202">
      <w:pPr>
        <w:pStyle w:val="Heading2"/>
        <w:rPr>
          <w:rFonts w:eastAsia="Times New Roman"/>
        </w:rPr>
      </w:pPr>
      <w:bookmarkStart w:id="0" w:name="Load"/>
      <w:bookmarkStart w:id="1" w:name="_Versions_of_SolverTable"/>
      <w:bookmarkEnd w:id="0"/>
      <w:bookmarkEnd w:id="1"/>
      <w:r>
        <w:rPr>
          <w:rFonts w:eastAsia="Times New Roman"/>
        </w:rPr>
        <w:t>Versions of SolverTable</w:t>
      </w:r>
    </w:p>
    <w:p w14:paraId="47B9F2E0" w14:textId="7416CFA1" w:rsidR="003D6D6A" w:rsidRDefault="00527202">
      <w:pPr>
        <w:pStyle w:val="NormalWeb"/>
      </w:pPr>
      <w:r>
        <w:t xml:space="preserve">I developed SolverTable in the late 1990s, and I have been enhancing and modifying it ever since. </w:t>
      </w:r>
      <w:r w:rsidR="005B38FD">
        <w:t xml:space="preserve">The current version of SolverTable was rewritten </w:t>
      </w:r>
      <w:r w:rsidR="00A8562A">
        <w:t xml:space="preserve">(in 2020) </w:t>
      </w:r>
      <w:r w:rsidR="005B38FD">
        <w:t xml:space="preserve">explicitly for Excel </w:t>
      </w:r>
      <w:r w:rsidR="00491400">
        <w:t>for the Mac</w:t>
      </w:r>
      <w:r w:rsidR="005B38FD">
        <w:t xml:space="preserve">. </w:t>
      </w:r>
      <w:r w:rsidR="00491400">
        <w:t xml:space="preserve">I claimed for years that a version for the Mac was impossible to create. The reason is that it appears to be impossible to use Excel’s programming language, VBA, to make multiple </w:t>
      </w:r>
      <w:r w:rsidR="00491400">
        <w:rPr>
          <w:i/>
          <w:iCs/>
        </w:rPr>
        <w:t xml:space="preserve">uninterrupted </w:t>
      </w:r>
      <w:r w:rsidR="00491400">
        <w:t xml:space="preserve">runs of Solver on the Mac, and these interrupted Solver runs are the essence of SolverTable. However, </w:t>
      </w:r>
      <w:r w:rsidR="00180F49">
        <w:t>since</w:t>
      </w:r>
      <w:r w:rsidR="00491400">
        <w:t xml:space="preserve"> so many of you are Mac users who do</w:t>
      </w:r>
      <w:r w:rsidR="00180F49">
        <w:t xml:space="preserve"> </w:t>
      </w:r>
      <w:r w:rsidR="00180F49">
        <w:rPr>
          <w:i/>
          <w:iCs/>
        </w:rPr>
        <w:t>not</w:t>
      </w:r>
      <w:r w:rsidR="00491400">
        <w:t xml:space="preserve"> want to run Windows emulation software, I was motivated to create a workaround for the Mac, and this version of SolverTable is the result. It runs exactly like SolverTable for Windows—the same user interface and the same results sheets—with one exception</w:t>
      </w:r>
      <w:r w:rsidR="00180F49">
        <w:t>:</w:t>
      </w:r>
      <w:r w:rsidR="00491400">
        <w:t xml:space="preserve"> the Solver runs are interrupted. </w:t>
      </w:r>
      <w:r w:rsidR="00A8562A">
        <w:t>Specifically, b</w:t>
      </w:r>
      <w:r w:rsidR="00491400">
        <w:t xml:space="preserve">efore each Solver run, you are prompted whether you want to make another Solver run. (At any point, you can click No to stop SolverTable prematurely.) Admittedly, these interruptions slow down the process, but you ultimately get exactly the same results as with </w:t>
      </w:r>
      <w:proofErr w:type="spellStart"/>
      <w:r w:rsidR="00491400">
        <w:t>SolverTable</w:t>
      </w:r>
      <w:proofErr w:type="spellEnd"/>
      <w:r w:rsidR="00491400">
        <w:t xml:space="preserve"> for Windows.</w:t>
      </w:r>
    </w:p>
    <w:p w14:paraId="07E9D4B9" w14:textId="77777777" w:rsidR="00E2729D" w:rsidRDefault="00527202">
      <w:pPr>
        <w:pStyle w:val="Heading2"/>
        <w:rPr>
          <w:rFonts w:eastAsia="Times New Roman"/>
        </w:rPr>
      </w:pPr>
      <w:r>
        <w:rPr>
          <w:rFonts w:eastAsia="Times New Roman"/>
        </w:rPr>
        <w:t>Loading SolverTable</w:t>
      </w:r>
    </w:p>
    <w:p w14:paraId="30926871" w14:textId="77777777" w:rsidR="00E2729D" w:rsidRDefault="00527202">
      <w:pPr>
        <w:pStyle w:val="NormalWeb"/>
      </w:pPr>
      <w:r>
        <w:t>To load SolverTable, proceed as follows:</w:t>
      </w:r>
    </w:p>
    <w:p w14:paraId="7BBD8978" w14:textId="662D0B0B" w:rsidR="00E2729D" w:rsidRDefault="00527202">
      <w:pPr>
        <w:pStyle w:val="NormalWeb"/>
        <w:numPr>
          <w:ilvl w:val="0"/>
          <w:numId w:val="5"/>
        </w:numPr>
      </w:pPr>
      <w:r>
        <w:t>If you have</w:t>
      </w:r>
      <w:r w:rsidR="00A8562A">
        <w:t xml:space="preserve"> </w:t>
      </w:r>
      <w:r>
        <w:t>n</w:t>
      </w:r>
      <w:r w:rsidR="00A8562A">
        <w:t>o</w:t>
      </w:r>
      <w:r>
        <w:t xml:space="preserve">t already done so, unzip the </w:t>
      </w:r>
      <w:r>
        <w:rPr>
          <w:b/>
        </w:rPr>
        <w:t xml:space="preserve">SolverTable </w:t>
      </w:r>
      <w:r w:rsidR="00180F49">
        <w:rPr>
          <w:b/>
        </w:rPr>
        <w:t>for Mac</w:t>
      </w:r>
      <w:r>
        <w:rPr>
          <w:b/>
        </w:rPr>
        <w:t>.zip</w:t>
      </w:r>
      <w:r>
        <w:t xml:space="preserve"> file to a</w:t>
      </w:r>
      <w:r w:rsidR="005D4552">
        <w:t>ny</w:t>
      </w:r>
      <w:r>
        <w:t xml:space="preserve"> folder on your hard drive. </w:t>
      </w:r>
      <w:r w:rsidR="005D4552">
        <w:t>This contains two files: the help file you</w:t>
      </w:r>
      <w:r w:rsidR="00A8562A">
        <w:t xml:space="preserve"> a</w:t>
      </w:r>
      <w:r w:rsidR="005D4552">
        <w:t xml:space="preserve">re reading now and the add-in file, </w:t>
      </w:r>
      <w:r w:rsidR="005D4552" w:rsidRPr="00A8562A">
        <w:rPr>
          <w:b/>
          <w:bCs/>
        </w:rPr>
        <w:t>SolverTable for Mac.xlam</w:t>
      </w:r>
      <w:r w:rsidR="005D4552">
        <w:t>.</w:t>
      </w:r>
    </w:p>
    <w:p w14:paraId="314FB94E" w14:textId="2C741CF6" w:rsidR="00E2729D" w:rsidRDefault="00527202">
      <w:pPr>
        <w:pStyle w:val="NormalWeb"/>
        <w:numPr>
          <w:ilvl w:val="0"/>
          <w:numId w:val="5"/>
        </w:numPr>
      </w:pPr>
      <w:r>
        <w:t xml:space="preserve">In Excel, load SolverTable into memory. There are two ways to do this. I suggest the first, but regardless of the method you use, you will know that SolverTable </w:t>
      </w:r>
      <w:r w:rsidR="005D4552">
        <w:t xml:space="preserve">for Mac </w:t>
      </w:r>
      <w:r>
        <w:t xml:space="preserve">is loaded when you see a </w:t>
      </w:r>
      <w:r>
        <w:lastRenderedPageBreak/>
        <w:t xml:space="preserve">SolverTable </w:t>
      </w:r>
      <w:r w:rsidR="005D4552">
        <w:t xml:space="preserve">for Mac </w:t>
      </w:r>
      <w:r>
        <w:t xml:space="preserve">tab with its own ribbon, as shown in Figure 1. (The SolverTable </w:t>
      </w:r>
      <w:r w:rsidR="005D4552">
        <w:t xml:space="preserve">for Mac </w:t>
      </w:r>
      <w:r>
        <w:t>tab is placed to the right of all existing tabs.)</w:t>
      </w:r>
    </w:p>
    <w:p w14:paraId="5A84B0CA" w14:textId="77777777" w:rsidR="00E2729D" w:rsidRDefault="00527202" w:rsidP="00924BD5">
      <w:pPr>
        <w:pStyle w:val="NormalWeb"/>
        <w:keepNext/>
        <w:rPr>
          <w:b/>
        </w:rPr>
      </w:pPr>
      <w:r>
        <w:rPr>
          <w:b/>
        </w:rPr>
        <w:t>Figure 1</w:t>
      </w:r>
    </w:p>
    <w:p w14:paraId="2F7F0BDA" w14:textId="21C807A6" w:rsidR="00E2729D" w:rsidRDefault="005D4552">
      <w:pPr>
        <w:pStyle w:val="NormalWeb"/>
        <w:rPr>
          <w:b/>
        </w:rPr>
      </w:pPr>
      <w:r>
        <w:rPr>
          <w:b/>
          <w:noProof/>
        </w:rPr>
        <w:drawing>
          <wp:inline distT="0" distB="0" distL="0" distR="0" wp14:anchorId="11DA3197" wp14:editId="5EA33051">
            <wp:extent cx="5581650" cy="862619"/>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632804" cy="870525"/>
                    </a:xfrm>
                    <a:prstGeom prst="rect">
                      <a:avLst/>
                    </a:prstGeom>
                  </pic:spPr>
                </pic:pic>
              </a:graphicData>
            </a:graphic>
          </wp:inline>
        </w:drawing>
      </w:r>
    </w:p>
    <w:p w14:paraId="37F67533" w14:textId="1BE4D27F" w:rsidR="00E2729D" w:rsidRDefault="005D4552">
      <w:pPr>
        <w:pStyle w:val="NormalWeb"/>
        <w:numPr>
          <w:ilvl w:val="1"/>
          <w:numId w:val="5"/>
        </w:numPr>
      </w:pPr>
      <w:r>
        <w:t>Click Excel Add-Ins from Excel’s Tools menu to open the add-ins list. If SolverTable for Mac is</w:t>
      </w:r>
      <w:r w:rsidR="00A8562A">
        <w:t xml:space="preserve"> </w:t>
      </w:r>
      <w:r>
        <w:t>n</w:t>
      </w:r>
      <w:r w:rsidR="00A8562A">
        <w:t>o</w:t>
      </w:r>
      <w:r>
        <w:t>t already in the list, browse for the .</w:t>
      </w:r>
      <w:proofErr w:type="spellStart"/>
      <w:r>
        <w:t>xlam</w:t>
      </w:r>
      <w:proofErr w:type="spellEnd"/>
      <w:r>
        <w:t xml:space="preserve"> file from step 1 to add it as a checked item in the list. If SolverTable for Mac is already in the add-ins list, just check it.</w:t>
      </w:r>
    </w:p>
    <w:p w14:paraId="04FAF88D" w14:textId="4D11CDFB" w:rsidR="00E2729D" w:rsidRDefault="00527202">
      <w:pPr>
        <w:pStyle w:val="NormalWeb"/>
        <w:numPr>
          <w:ilvl w:val="1"/>
          <w:numId w:val="5"/>
        </w:numPr>
      </w:pPr>
      <w:r>
        <w:t xml:space="preserve">Alternatively, open the </w:t>
      </w:r>
      <w:r>
        <w:rPr>
          <w:b/>
        </w:rPr>
        <w:t>SolverTable.xlam</w:t>
      </w:r>
      <w:r>
        <w:t xml:space="preserve"> file in the same way as you open any other Excel file. </w:t>
      </w:r>
    </w:p>
    <w:p w14:paraId="2B1DF697" w14:textId="77777777" w:rsidR="00E2729D" w:rsidRDefault="00527202">
      <w:pPr>
        <w:pStyle w:val="NormalWeb"/>
      </w:pPr>
      <w:r>
        <w:rPr>
          <w:b/>
        </w:rPr>
        <w:t xml:space="preserve">Note: </w:t>
      </w:r>
      <w:r>
        <w:t>Suppose you use the first method above. You will notice that there is an Unload button on the SolverTable ribbon. If you click it, the SolverTable.xlam file will close, but the SolverTable item in the add-ins list will still be checked. The effect of this is that if you close Excel and then open it at a later time, SolverTable will reload.</w:t>
      </w:r>
    </w:p>
    <w:p w14:paraId="3789CFA1" w14:textId="77777777" w:rsidR="00E2729D" w:rsidRDefault="00527202">
      <w:pPr>
        <w:pStyle w:val="Heading2"/>
        <w:rPr>
          <w:rFonts w:eastAsia="Times New Roman"/>
        </w:rPr>
      </w:pPr>
      <w:bookmarkStart w:id="2" w:name="Unload"/>
      <w:bookmarkEnd w:id="2"/>
      <w:r>
        <w:rPr>
          <w:rFonts w:eastAsia="Times New Roman"/>
        </w:rPr>
        <w:t>Unloading SolverTable</w:t>
      </w:r>
    </w:p>
    <w:p w14:paraId="3CEF25FC" w14:textId="77777777" w:rsidR="00E2729D" w:rsidRDefault="00527202">
      <w:pPr>
        <w:pStyle w:val="NormalWeb"/>
      </w:pPr>
      <w:r>
        <w:t>To unload this add-in (remove it from memory), (1) uncheck the SolverTable box in the Add-ins list (if you used the first method above), (2) close Excel (if you used the second method above), or (3) click the Unload SolverTable button on the SolverTable ribbon.</w:t>
      </w:r>
    </w:p>
    <w:p w14:paraId="3D910DDD" w14:textId="77777777" w:rsidR="00E2729D" w:rsidRDefault="00527202">
      <w:pPr>
        <w:pStyle w:val="Heading2"/>
        <w:rPr>
          <w:rFonts w:eastAsia="Times New Roman"/>
        </w:rPr>
      </w:pPr>
      <w:bookmarkStart w:id="3" w:name="_Waking_Up_Solver"/>
      <w:bookmarkStart w:id="4" w:name="Example"/>
      <w:bookmarkEnd w:id="3"/>
      <w:bookmarkEnd w:id="4"/>
      <w:r>
        <w:rPr>
          <w:rFonts w:eastAsia="Times New Roman"/>
        </w:rPr>
        <w:t>An example file</w:t>
      </w:r>
    </w:p>
    <w:p w14:paraId="00CD9E8C" w14:textId="49FE18C1" w:rsidR="00E2729D" w:rsidRDefault="00527202">
      <w:pPr>
        <w:pStyle w:val="NormalWeb"/>
      </w:pPr>
      <w:r>
        <w:t>To illustrate SolverTable</w:t>
      </w:r>
      <w:r w:rsidR="00A8562A">
        <w:t xml:space="preserve"> for Mac</w:t>
      </w:r>
      <w:r>
        <w:t xml:space="preserve">, I will use the standard product mix model, a version of which appears in Figure 2. (The conventions I use are that the input cells are blue, the </w:t>
      </w:r>
      <w:r w:rsidR="00924BD5">
        <w:t>decision variable</w:t>
      </w:r>
      <w:r>
        <w:t xml:space="preserve"> cells are red, and the objective cell is gray, but you can use any conventions you like.) I assume the Solver dialog box has already been completed in the obvious way (including checking the nonnegative option and specifying the </w:t>
      </w:r>
      <w:r w:rsidR="00924BD5">
        <w:t>S</w:t>
      </w:r>
      <w:r>
        <w:t xml:space="preserve">implex </w:t>
      </w:r>
      <w:r w:rsidR="00924BD5">
        <w:t>LP method</w:t>
      </w:r>
      <w:r>
        <w:t>). The model shown here has already been optimized, but this is not necessary for running SolverTable.</w:t>
      </w:r>
    </w:p>
    <w:p w14:paraId="6B480A5E" w14:textId="77777777" w:rsidR="00E2729D" w:rsidRDefault="00527202" w:rsidP="00924BD5">
      <w:pPr>
        <w:pStyle w:val="NormalWeb"/>
        <w:keepNext/>
        <w:rPr>
          <w:b/>
          <w:bCs/>
        </w:rPr>
      </w:pPr>
      <w:r>
        <w:rPr>
          <w:b/>
          <w:bCs/>
        </w:rPr>
        <w:lastRenderedPageBreak/>
        <w:t>Figure 2</w:t>
      </w:r>
    </w:p>
    <w:p w14:paraId="45C2AA1E" w14:textId="6A5CC6B4" w:rsidR="00E2729D" w:rsidRDefault="0050214B">
      <w:pPr>
        <w:pStyle w:val="NormalWeb"/>
      </w:pPr>
      <w:r>
        <w:rPr>
          <w:noProof/>
        </w:rPr>
        <w:drawing>
          <wp:inline distT="0" distB="0" distL="0" distR="0" wp14:anchorId="043FDB50" wp14:editId="7C311CBF">
            <wp:extent cx="5943600" cy="3909695"/>
            <wp:effectExtent l="0" t="0" r="0" b="0"/>
            <wp:docPr id="5" name="Picture 5"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application, table&#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943600" cy="3909695"/>
                    </a:xfrm>
                    <a:prstGeom prst="rect">
                      <a:avLst/>
                    </a:prstGeom>
                  </pic:spPr>
                </pic:pic>
              </a:graphicData>
            </a:graphic>
          </wp:inline>
        </w:drawing>
      </w:r>
    </w:p>
    <w:p w14:paraId="58050A8D" w14:textId="77777777" w:rsidR="00E2729D" w:rsidRDefault="00527202">
      <w:pPr>
        <w:pStyle w:val="Heading2"/>
        <w:rPr>
          <w:rFonts w:eastAsia="Times New Roman"/>
        </w:rPr>
      </w:pPr>
      <w:bookmarkStart w:id="5" w:name="Running"/>
      <w:bookmarkEnd w:id="5"/>
      <w:r>
        <w:rPr>
          <w:rFonts w:eastAsia="Times New Roman"/>
        </w:rPr>
        <w:t>Running SolverTable</w:t>
      </w:r>
    </w:p>
    <w:p w14:paraId="5472B244" w14:textId="77777777" w:rsidR="00E2729D" w:rsidRDefault="00527202">
      <w:pPr>
        <w:pStyle w:val="NormalWeb"/>
      </w:pPr>
      <w:r>
        <w:t xml:space="preserve">The purpose of SolverTable is very much like that of an Excel data table: to vary one or two inputs and keep track of one or more outputs. The main difference is that SolverTable runs Solver for each input value (or combination of input values) and reports the </w:t>
      </w:r>
      <w:r>
        <w:rPr>
          <w:i/>
          <w:iCs/>
        </w:rPr>
        <w:t>optimal</w:t>
      </w:r>
      <w:r>
        <w:t xml:space="preserve"> results in the table. Like data tables, there are two options: oneway tables and twoway tables, depending on whether you want to vary one or two </w:t>
      </w:r>
      <w:r>
        <w:rPr>
          <w:i/>
          <w:iCs/>
        </w:rPr>
        <w:t>input</w:t>
      </w:r>
      <w:r>
        <w:t xml:space="preserve"> cells. However, unlike Excel data tables, there can be multiple output cells for oneway </w:t>
      </w:r>
      <w:r>
        <w:rPr>
          <w:i/>
          <w:iCs/>
        </w:rPr>
        <w:t>or</w:t>
      </w:r>
      <w:r>
        <w:t xml:space="preserve"> twoway tables. In the latter case, SolverTable creates a separate table for each output cell. Note that a table created by SolverTable retains no links to the original data. If you want to change anything about the table, you must rerun SolverTable.</w:t>
      </w:r>
    </w:p>
    <w:p w14:paraId="4F2DBBE2" w14:textId="77777777" w:rsidR="00E2729D" w:rsidRDefault="00527202" w:rsidP="009D7A71">
      <w:pPr>
        <w:pStyle w:val="Heading2"/>
        <w:rPr>
          <w:rFonts w:eastAsia="Times New Roman"/>
        </w:rPr>
      </w:pPr>
      <w:bookmarkStart w:id="6" w:name="Oneway"/>
      <w:bookmarkEnd w:id="6"/>
      <w:r>
        <w:rPr>
          <w:rFonts w:eastAsia="Times New Roman"/>
        </w:rPr>
        <w:t>Creating a Oneway Table</w:t>
      </w:r>
    </w:p>
    <w:p w14:paraId="288DBD7F" w14:textId="51C879F6" w:rsidR="00E2729D" w:rsidRDefault="00527202">
      <w:pPr>
        <w:pStyle w:val="NormalWeb"/>
      </w:pPr>
      <w:r>
        <w:t>To illustrate a oneway table, I will see how the optimal profit and the optimal product mix (</w:t>
      </w:r>
      <w:r w:rsidR="00924BD5">
        <w:t>decision variable</w:t>
      </w:r>
      <w:r>
        <w:t xml:space="preserve"> cells) vary as the </w:t>
      </w:r>
      <w:r w:rsidR="0050214B">
        <w:t>selling price for XPs</w:t>
      </w:r>
      <w:r>
        <w:t xml:space="preserve"> (cell </w:t>
      </w:r>
      <w:r w:rsidR="0050214B">
        <w:t>C1</w:t>
      </w:r>
      <w:r>
        <w:t xml:space="preserve">1) varies from </w:t>
      </w:r>
      <w:r w:rsidR="0050214B">
        <w:t>350 to 550</w:t>
      </w:r>
      <w:r>
        <w:t xml:space="preserve"> in increments of </w:t>
      </w:r>
      <w:r w:rsidR="0050214B">
        <w:t>25</w:t>
      </w:r>
      <w:r>
        <w:t xml:space="preserve">. Begin by clicking the Run SolverTable </w:t>
      </w:r>
      <w:r w:rsidR="00924BD5">
        <w:t>button</w:t>
      </w:r>
      <w:r>
        <w:t xml:space="preserve"> on the SolverTable ribbon. You will be asked whether you have a Solver model on this sheet. For this example, you should </w:t>
      </w:r>
      <w:r w:rsidR="00924BD5">
        <w:t>click</w:t>
      </w:r>
      <w:r>
        <w:t xml:space="preserve"> Yes. But if you inadvertently try to run SolverTable on a sheet without a Solver model, this gives you a way to back out gracefully. You then see the dialog box in Figure 3. Select the first option and click OK.</w:t>
      </w:r>
    </w:p>
    <w:p w14:paraId="60AB764B" w14:textId="77777777" w:rsidR="00E2729D" w:rsidRDefault="00527202" w:rsidP="00924BD5">
      <w:pPr>
        <w:pStyle w:val="NormalWeb"/>
        <w:keepNext/>
        <w:rPr>
          <w:b/>
          <w:bCs/>
        </w:rPr>
      </w:pPr>
      <w:r>
        <w:rPr>
          <w:b/>
          <w:bCs/>
        </w:rPr>
        <w:lastRenderedPageBreak/>
        <w:t>Figure 3</w:t>
      </w:r>
    </w:p>
    <w:p w14:paraId="2CE60E30" w14:textId="0525FA41" w:rsidR="00E2729D" w:rsidRDefault="0050214B">
      <w:pPr>
        <w:pStyle w:val="NormalWeb"/>
      </w:pPr>
      <w:r>
        <w:rPr>
          <w:noProof/>
        </w:rPr>
        <w:drawing>
          <wp:inline distT="0" distB="0" distL="0" distR="0" wp14:anchorId="1CFE4BDC" wp14:editId="207E3ADC">
            <wp:extent cx="2583712" cy="1384131"/>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603561" cy="1394765"/>
                    </a:xfrm>
                    <a:prstGeom prst="rect">
                      <a:avLst/>
                    </a:prstGeom>
                  </pic:spPr>
                </pic:pic>
              </a:graphicData>
            </a:graphic>
          </wp:inline>
        </w:drawing>
      </w:r>
    </w:p>
    <w:p w14:paraId="10BB1358" w14:textId="77777777" w:rsidR="00E2729D" w:rsidRDefault="00527202">
      <w:pPr>
        <w:pStyle w:val="NormalWeb"/>
      </w:pPr>
      <w:r>
        <w:t xml:space="preserve">The next dialog box, shown in Figure 4, requires you to specify the input cell, an optional name for the input cell (for labeling the report), the input values (assumed to be in regular increments if you choose the first option, or any list of values if you choose the second or third options), and the output cell(s). SolverTable checks your entries in this dialog box for errors. For example, the input cell should not contain a formula or a label, the output range should not contain the input cell, and so on. However, I cannot guarantee that it checks for </w:t>
      </w:r>
      <w:r>
        <w:rPr>
          <w:i/>
          <w:iCs/>
        </w:rPr>
        <w:t>everything</w:t>
      </w:r>
      <w:r>
        <w:t>, so be careful when you make these entries. (Check the note at the bottom for selecting multiple ranges.)</w:t>
      </w:r>
    </w:p>
    <w:p w14:paraId="73E1CA84" w14:textId="77777777" w:rsidR="00E2729D" w:rsidRDefault="00527202" w:rsidP="00924BD5">
      <w:pPr>
        <w:pStyle w:val="NormalWeb"/>
        <w:keepNext/>
        <w:rPr>
          <w:b/>
          <w:bCs/>
        </w:rPr>
      </w:pPr>
      <w:r>
        <w:rPr>
          <w:b/>
          <w:bCs/>
        </w:rPr>
        <w:t>Figure 4</w:t>
      </w:r>
    </w:p>
    <w:p w14:paraId="382328F5" w14:textId="20C241C5" w:rsidR="00E2729D" w:rsidRDefault="0050214B">
      <w:pPr>
        <w:pStyle w:val="NormalWeb"/>
      </w:pPr>
      <w:r>
        <w:rPr>
          <w:noProof/>
        </w:rPr>
        <w:drawing>
          <wp:inline distT="0" distB="0" distL="0" distR="0" wp14:anchorId="351A3025" wp14:editId="60DB9393">
            <wp:extent cx="2996061" cy="4019107"/>
            <wp:effectExtent l="0" t="0" r="0" b="0"/>
            <wp:docPr id="8" name="Picture 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019292" cy="4050270"/>
                    </a:xfrm>
                    <a:prstGeom prst="rect">
                      <a:avLst/>
                    </a:prstGeom>
                  </pic:spPr>
                </pic:pic>
              </a:graphicData>
            </a:graphic>
          </wp:inline>
        </w:drawing>
      </w:r>
    </w:p>
    <w:p w14:paraId="5761DD16" w14:textId="069A216D" w:rsidR="0050214B" w:rsidRDefault="0050214B">
      <w:pPr>
        <w:pStyle w:val="NormalWeb"/>
      </w:pPr>
    </w:p>
    <w:p w14:paraId="280F06B6" w14:textId="6381499C" w:rsidR="00F322E0" w:rsidRDefault="0050214B">
      <w:pPr>
        <w:pStyle w:val="NormalWeb"/>
      </w:pPr>
      <w:r>
        <w:lastRenderedPageBreak/>
        <w:t xml:space="preserve">After you click OK, you see a series of dialog boxes as in Figure 5. </w:t>
      </w:r>
      <w:r w:rsidR="000F12E5">
        <w:t xml:space="preserve">This is the feature that distinguishes the Mac version of </w:t>
      </w:r>
      <w:proofErr w:type="spellStart"/>
      <w:r w:rsidR="000F12E5">
        <w:t>SolverTable</w:t>
      </w:r>
      <w:proofErr w:type="spellEnd"/>
      <w:r w:rsidR="000F12E5">
        <w:t xml:space="preserve"> from the Windows version. These dialog boxes enable multiple </w:t>
      </w:r>
      <w:r w:rsidR="000F12E5" w:rsidRPr="00F322E0">
        <w:rPr>
          <w:i/>
          <w:iCs/>
        </w:rPr>
        <w:t>interrupted</w:t>
      </w:r>
      <w:r w:rsidR="000F12E5">
        <w:t xml:space="preserve"> Solver runs, so you need to click Yes multiple times—once for each Solver run. If you accidently ask for a huge number of Solver runs, you can always click No to exit </w:t>
      </w:r>
      <w:proofErr w:type="spellStart"/>
      <w:r w:rsidR="000F12E5">
        <w:t>SolverTable</w:t>
      </w:r>
      <w:proofErr w:type="spellEnd"/>
      <w:r w:rsidR="000F12E5">
        <w:t xml:space="preserve"> prematurely. But even then, you will see results for the Solver runs already made.</w:t>
      </w:r>
    </w:p>
    <w:p w14:paraId="30FF353F" w14:textId="122B7408" w:rsidR="0050214B" w:rsidRDefault="000F12E5">
      <w:pPr>
        <w:pStyle w:val="NormalWeb"/>
        <w:rPr>
          <w:b/>
          <w:bCs/>
        </w:rPr>
      </w:pPr>
      <w:r>
        <w:rPr>
          <w:b/>
          <w:bCs/>
        </w:rPr>
        <w:t>Figure 5</w:t>
      </w:r>
    </w:p>
    <w:p w14:paraId="7E561494" w14:textId="12FBB533" w:rsidR="000F12E5" w:rsidRPr="000F12E5" w:rsidRDefault="000F12E5">
      <w:pPr>
        <w:pStyle w:val="NormalWeb"/>
      </w:pPr>
      <w:r>
        <w:rPr>
          <w:noProof/>
        </w:rPr>
        <w:drawing>
          <wp:inline distT="0" distB="0" distL="0" distR="0" wp14:anchorId="5D632F68" wp14:editId="30AC6796">
            <wp:extent cx="2934586" cy="1038606"/>
            <wp:effectExtent l="0" t="0" r="0" b="0"/>
            <wp:docPr id="9" name="Picture 9"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970410" cy="1051285"/>
                    </a:xfrm>
                    <a:prstGeom prst="rect">
                      <a:avLst/>
                    </a:prstGeom>
                  </pic:spPr>
                </pic:pic>
              </a:graphicData>
            </a:graphic>
          </wp:inline>
        </w:drawing>
      </w:r>
    </w:p>
    <w:p w14:paraId="37E71459" w14:textId="175AF6C1" w:rsidR="00E2729D" w:rsidRDefault="00527202">
      <w:pPr>
        <w:pStyle w:val="NormalWeb"/>
      </w:pPr>
      <w:r>
        <w:t xml:space="preserve">The </w:t>
      </w:r>
      <w:r w:rsidR="000F12E5">
        <w:t>results appear</w:t>
      </w:r>
      <w:r>
        <w:t xml:space="preserve"> in Figure </w:t>
      </w:r>
      <w:r w:rsidR="000F12E5">
        <w:t>6</w:t>
      </w:r>
      <w:r>
        <w:t xml:space="preserve">. </w:t>
      </w:r>
      <w:r w:rsidR="00924BD5">
        <w:t>U</w:t>
      </w:r>
      <w:r>
        <w:t xml:space="preserve">nlike an Excel data table, SolverTable does not put </w:t>
      </w:r>
      <w:r>
        <w:rPr>
          <w:i/>
          <w:iCs/>
        </w:rPr>
        <w:t>formulas</w:t>
      </w:r>
      <w:r>
        <w:t xml:space="preserve"> at the top of the table (in row 4 of the figure). However, it does put the cell addresses of the output cells. </w:t>
      </w:r>
      <w:r w:rsidR="0070391D">
        <w:t xml:space="preserve">Actually, if the output cells are in named ranges, labels with these names appear in the output rather than cell addresses. For example, the label in cell B4 indicates that this output is the first cell of the </w:t>
      </w:r>
      <w:proofErr w:type="spellStart"/>
      <w:r w:rsidR="000F12E5">
        <w:t>Number_to_produce</w:t>
      </w:r>
      <w:proofErr w:type="spellEnd"/>
      <w:r w:rsidR="0070391D">
        <w:t xml:space="preserve"> range. Similarly, the label in cell </w:t>
      </w:r>
      <w:r w:rsidR="000F12E5">
        <w:t>D</w:t>
      </w:r>
      <w:r w:rsidR="0070391D">
        <w:t xml:space="preserve">4 indicates that this output is the </w:t>
      </w:r>
      <w:r w:rsidR="0070391D">
        <w:rPr>
          <w:i/>
        </w:rPr>
        <w:t xml:space="preserve">only </w:t>
      </w:r>
      <w:r w:rsidR="0070391D">
        <w:t xml:space="preserve">cell in the </w:t>
      </w:r>
      <w:proofErr w:type="spellStart"/>
      <w:r w:rsidR="000F12E5">
        <w:t>Total_profit</w:t>
      </w:r>
      <w:proofErr w:type="spellEnd"/>
      <w:r w:rsidR="0070391D">
        <w:t xml:space="preserve"> range. </w:t>
      </w:r>
      <w:r>
        <w:t xml:space="preserve">This way, you can remember which outputs are being reported. </w:t>
      </w:r>
      <w:r w:rsidR="00924BD5">
        <w:t>The</w:t>
      </w:r>
      <w:r>
        <w:t xml:space="preserve"> results of each run are placed on a new worksheet, which are named </w:t>
      </w:r>
      <w:proofErr w:type="spellStart"/>
      <w:r w:rsidR="00643F15">
        <w:t>STS</w:t>
      </w:r>
      <w:r>
        <w:t>_n</w:t>
      </w:r>
      <w:proofErr w:type="spellEnd"/>
      <w:r>
        <w:t xml:space="preserve"> for consecutive values of n. So if you make </w:t>
      </w:r>
      <w:r w:rsidR="00924BD5">
        <w:t>three</w:t>
      </w:r>
      <w:r>
        <w:t xml:space="preserve"> runs, you will have three new worksheets: </w:t>
      </w:r>
      <w:r w:rsidR="00643F15">
        <w:t>STS</w:t>
      </w:r>
      <w:r>
        <w:t xml:space="preserve">_1, </w:t>
      </w:r>
      <w:r w:rsidR="00643F15">
        <w:t>STS</w:t>
      </w:r>
      <w:r>
        <w:t xml:space="preserve">_2, and </w:t>
      </w:r>
      <w:r w:rsidR="00643F15">
        <w:t>STS</w:t>
      </w:r>
      <w:r>
        <w:t xml:space="preserve">_3. </w:t>
      </w:r>
      <w:r w:rsidR="00924BD5">
        <w:t>Also</w:t>
      </w:r>
      <w:r>
        <w:t xml:space="preserve">, the new worksheet has a built-in chart so that you can graph any of the columns. This is shown in Figure </w:t>
      </w:r>
      <w:r w:rsidR="000F12E5">
        <w:t>7</w:t>
      </w:r>
      <w:r>
        <w:t xml:space="preserve">. By choosing an output from the dropdown </w:t>
      </w:r>
      <w:r w:rsidR="00924BD5">
        <w:t xml:space="preserve">list </w:t>
      </w:r>
      <w:r>
        <w:t>in cell K4, you get a corresponding chart of that column’s results.</w:t>
      </w:r>
      <w:r w:rsidR="000E19CA">
        <w:t xml:space="preserve"> </w:t>
      </w:r>
      <w:r w:rsidR="00643F15">
        <w:t>(STS is short for SolverTable Standard, meaning that it is written for the standard version of Solver that ships with Office.)</w:t>
      </w:r>
    </w:p>
    <w:p w14:paraId="37046FE7" w14:textId="76B2E65B" w:rsidR="00E2729D" w:rsidRDefault="00527202" w:rsidP="00924BD5">
      <w:pPr>
        <w:pStyle w:val="NormalWeb"/>
        <w:keepNext/>
        <w:rPr>
          <w:b/>
          <w:bCs/>
        </w:rPr>
      </w:pPr>
      <w:r>
        <w:rPr>
          <w:b/>
          <w:bCs/>
        </w:rPr>
        <w:t xml:space="preserve">Figure </w:t>
      </w:r>
      <w:r w:rsidR="000F12E5">
        <w:rPr>
          <w:b/>
          <w:bCs/>
        </w:rPr>
        <w:t>6</w:t>
      </w:r>
    </w:p>
    <w:p w14:paraId="4045B507" w14:textId="7556D711" w:rsidR="00E2729D" w:rsidRDefault="000F12E5">
      <w:pPr>
        <w:pStyle w:val="NormalWeb"/>
      </w:pPr>
      <w:r>
        <w:rPr>
          <w:noProof/>
        </w:rPr>
        <w:drawing>
          <wp:inline distT="0" distB="0" distL="0" distR="0" wp14:anchorId="1F859A58" wp14:editId="1BCB6045">
            <wp:extent cx="3079538" cy="2796363"/>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101144" cy="2815982"/>
                    </a:xfrm>
                    <a:prstGeom prst="rect">
                      <a:avLst/>
                    </a:prstGeom>
                  </pic:spPr>
                </pic:pic>
              </a:graphicData>
            </a:graphic>
          </wp:inline>
        </w:drawing>
      </w:r>
    </w:p>
    <w:p w14:paraId="4D3EABA7" w14:textId="6A14C19C" w:rsidR="00E2729D" w:rsidRDefault="00527202" w:rsidP="00924BD5">
      <w:pPr>
        <w:pStyle w:val="NormalWeb"/>
        <w:keepNext/>
        <w:rPr>
          <w:b/>
        </w:rPr>
      </w:pPr>
      <w:r>
        <w:rPr>
          <w:b/>
        </w:rPr>
        <w:lastRenderedPageBreak/>
        <w:t xml:space="preserve">Figure </w:t>
      </w:r>
      <w:r w:rsidR="000F12E5">
        <w:rPr>
          <w:b/>
        </w:rPr>
        <w:t>7</w:t>
      </w:r>
    </w:p>
    <w:p w14:paraId="784C04E6" w14:textId="39546C1E" w:rsidR="00E2729D" w:rsidRDefault="000F12E5">
      <w:pPr>
        <w:pStyle w:val="NormalWeb"/>
        <w:rPr>
          <w:b/>
        </w:rPr>
      </w:pPr>
      <w:r>
        <w:rPr>
          <w:noProof/>
        </w:rPr>
        <w:drawing>
          <wp:inline distT="0" distB="0" distL="0" distR="0" wp14:anchorId="76C48AB2" wp14:editId="31E65106">
            <wp:extent cx="3157870" cy="3466235"/>
            <wp:effectExtent l="0" t="0" r="0" b="0"/>
            <wp:docPr id="18"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175843" cy="3485963"/>
                    </a:xfrm>
                    <a:prstGeom prst="rect">
                      <a:avLst/>
                    </a:prstGeom>
                  </pic:spPr>
                </pic:pic>
              </a:graphicData>
            </a:graphic>
          </wp:inline>
        </w:drawing>
      </w:r>
    </w:p>
    <w:p w14:paraId="1764E697" w14:textId="77777777" w:rsidR="00E2729D" w:rsidRDefault="00527202" w:rsidP="009D7A71">
      <w:pPr>
        <w:pStyle w:val="Heading2"/>
        <w:rPr>
          <w:rFonts w:eastAsia="Times New Roman"/>
        </w:rPr>
      </w:pPr>
      <w:bookmarkStart w:id="7" w:name="Twoway"/>
      <w:bookmarkEnd w:id="7"/>
      <w:r>
        <w:rPr>
          <w:rFonts w:eastAsia="Times New Roman"/>
        </w:rPr>
        <w:t>Creating a Twoway Table</w:t>
      </w:r>
    </w:p>
    <w:p w14:paraId="14EEEC3A" w14:textId="0235D192" w:rsidR="00E2729D" w:rsidRDefault="00527202">
      <w:pPr>
        <w:pStyle w:val="NormalWeb"/>
      </w:pPr>
      <w:r>
        <w:t xml:space="preserve">To create a twoway table, go through the same steps as above, but check the twoway option in Figure 3. Then the twoway dialog box in Figure </w:t>
      </w:r>
      <w:r w:rsidR="000F12E5">
        <w:t>8</w:t>
      </w:r>
      <w:r>
        <w:t xml:space="preserve"> appears. Here, I'll assume that both </w:t>
      </w:r>
      <w:r w:rsidR="0055718D">
        <w:t>assembly</w:t>
      </w:r>
      <w:r>
        <w:t xml:space="preserve"> hour availability (D21) </w:t>
      </w:r>
      <w:r>
        <w:rPr>
          <w:i/>
          <w:iCs/>
        </w:rPr>
        <w:t>and</w:t>
      </w:r>
      <w:r>
        <w:t xml:space="preserve"> </w:t>
      </w:r>
      <w:r w:rsidR="0055718D">
        <w:t>testing hour availability</w:t>
      </w:r>
      <w:r>
        <w:t xml:space="preserve"> (</w:t>
      </w:r>
      <w:r w:rsidR="0055718D">
        <w:t>D22</w:t>
      </w:r>
      <w:r>
        <w:t xml:space="preserve">) are being varied, and that the desired outputs are the </w:t>
      </w:r>
      <w:r w:rsidR="0055718D">
        <w:t>decision variables</w:t>
      </w:r>
      <w:r>
        <w:t xml:space="preserve"> (B</w:t>
      </w:r>
      <w:r w:rsidR="0055718D">
        <w:t>16, C16</w:t>
      </w:r>
      <w:r>
        <w:t>) and the optimal profit. (</w:t>
      </w:r>
      <w:r>
        <w:rPr>
          <w:i/>
          <w:iCs/>
        </w:rPr>
        <w:t>Any</w:t>
      </w:r>
      <w:r>
        <w:t xml:space="preserve"> output cells could be selected.)</w:t>
      </w:r>
    </w:p>
    <w:p w14:paraId="2CE9177B" w14:textId="41B01F26" w:rsidR="00E2729D" w:rsidRDefault="00527202" w:rsidP="00924BD5">
      <w:pPr>
        <w:pStyle w:val="NormalWeb"/>
        <w:keepNext/>
        <w:rPr>
          <w:b/>
          <w:bCs/>
        </w:rPr>
      </w:pPr>
      <w:r>
        <w:rPr>
          <w:b/>
          <w:bCs/>
        </w:rPr>
        <w:lastRenderedPageBreak/>
        <w:t xml:space="preserve">Figure </w:t>
      </w:r>
      <w:r w:rsidR="000F12E5">
        <w:rPr>
          <w:b/>
          <w:bCs/>
        </w:rPr>
        <w:t>8</w:t>
      </w:r>
    </w:p>
    <w:p w14:paraId="05369C2F" w14:textId="6200FD3B" w:rsidR="00E2729D" w:rsidRDefault="000F12E5">
      <w:pPr>
        <w:pStyle w:val="NormalWeb"/>
      </w:pPr>
      <w:r>
        <w:rPr>
          <w:noProof/>
        </w:rPr>
        <w:drawing>
          <wp:inline distT="0" distB="0" distL="0" distR="0" wp14:anchorId="5AFFA7D5" wp14:editId="51AD0761">
            <wp:extent cx="3960491" cy="3147238"/>
            <wp:effectExtent l="0" t="0" r="0" b="0"/>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993326" cy="3173331"/>
                    </a:xfrm>
                    <a:prstGeom prst="rect">
                      <a:avLst/>
                    </a:prstGeom>
                  </pic:spPr>
                </pic:pic>
              </a:graphicData>
            </a:graphic>
          </wp:inline>
        </w:drawing>
      </w:r>
    </w:p>
    <w:p w14:paraId="1B126A07" w14:textId="44E6495E" w:rsidR="00E2729D" w:rsidRDefault="00527202">
      <w:pPr>
        <w:pStyle w:val="NormalWeb"/>
      </w:pPr>
      <w:proofErr w:type="spellStart"/>
      <w:r>
        <w:t>SolverTable</w:t>
      </w:r>
      <w:proofErr w:type="spellEnd"/>
      <w:r>
        <w:t xml:space="preserve"> then </w:t>
      </w:r>
      <w:r w:rsidR="0055718D">
        <w:t xml:space="preserve">makes as many (interrupted) Solver runs as required, and it eventually </w:t>
      </w:r>
      <w:r>
        <w:t xml:space="preserve">creates as many tables as there are output cells, as shown in Figure </w:t>
      </w:r>
      <w:r w:rsidR="0055718D">
        <w:t>9,</w:t>
      </w:r>
      <w:r w:rsidR="00FA65F9">
        <w:t xml:space="preserve"> each with a label for an output cell in the upper left corner</w:t>
      </w:r>
      <w:r>
        <w:t xml:space="preserve">. Note that each cell in a table corresponds to a Solver run. For example, when there are </w:t>
      </w:r>
      <w:r w:rsidR="0055718D">
        <w:t>11,000 assembling</w:t>
      </w:r>
      <w:r>
        <w:t xml:space="preserve"> labor hours </w:t>
      </w:r>
      <w:r w:rsidR="0055718D">
        <w:t xml:space="preserve">and 4000 testing hours </w:t>
      </w:r>
      <w:r>
        <w:t>avail</w:t>
      </w:r>
      <w:r w:rsidR="0055718D">
        <w:t>able</w:t>
      </w:r>
      <w:r>
        <w:t>, the optimal profit is $</w:t>
      </w:r>
      <w:r w:rsidR="0055718D">
        <w:t>202,800</w:t>
      </w:r>
      <w:r>
        <w:t xml:space="preserve"> (bottom table)</w:t>
      </w:r>
      <w:r w:rsidR="0055718D">
        <w:t>, 600 Basics are produced (top table), and 1200 XPs are produced (middle table)</w:t>
      </w:r>
      <w:r>
        <w:t xml:space="preserve">. As before, these results are stored in a new </w:t>
      </w:r>
      <w:proofErr w:type="spellStart"/>
      <w:r w:rsidR="00643F15">
        <w:t>STS</w:t>
      </w:r>
      <w:r>
        <w:t>_n</w:t>
      </w:r>
      <w:proofErr w:type="spellEnd"/>
      <w:r>
        <w:t xml:space="preserve"> sheet, and there are now two charts, as shown in Figure </w:t>
      </w:r>
      <w:r w:rsidR="0055718D">
        <w:t>10</w:t>
      </w:r>
      <w:r>
        <w:t xml:space="preserve">. As the text box </w:t>
      </w:r>
      <w:r w:rsidR="00505BD1">
        <w:t xml:space="preserve">in this figure </w:t>
      </w:r>
      <w:r>
        <w:t xml:space="preserve">indicates, you can graph any row or any column for any output by choosing from </w:t>
      </w:r>
      <w:r w:rsidR="00505BD1">
        <w:t xml:space="preserve">the </w:t>
      </w:r>
      <w:r>
        <w:t xml:space="preserve">four dropdown lists (the colored cells). </w:t>
      </w:r>
    </w:p>
    <w:p w14:paraId="7D67420C" w14:textId="3F1E295D" w:rsidR="00505BD1" w:rsidRPr="00505BD1" w:rsidRDefault="00505BD1">
      <w:pPr>
        <w:pStyle w:val="NormalWeb"/>
      </w:pPr>
      <w:r>
        <w:rPr>
          <w:b/>
          <w:bCs/>
        </w:rPr>
        <w:t xml:space="preserve">Note: </w:t>
      </w:r>
      <w:r>
        <w:t xml:space="preserve">Keep in mind that, depending on the input ranges you select, a </w:t>
      </w:r>
      <w:proofErr w:type="spellStart"/>
      <w:r>
        <w:t>twoway</w:t>
      </w:r>
      <w:proofErr w:type="spellEnd"/>
      <w:r>
        <w:t xml:space="preserve"> </w:t>
      </w:r>
      <w:proofErr w:type="spellStart"/>
      <w:r>
        <w:t>SolverTable</w:t>
      </w:r>
      <w:proofErr w:type="spellEnd"/>
      <w:r>
        <w:t xml:space="preserve"> can require a </w:t>
      </w:r>
      <w:r>
        <w:rPr>
          <w:i/>
          <w:iCs/>
        </w:rPr>
        <w:t xml:space="preserve">lot </w:t>
      </w:r>
      <w:r>
        <w:t xml:space="preserve">of Solver runs. For instance, the example illustrated here required 5x4=20 Solver runs. However, if you ask for more than you anticipated, you can always stop </w:t>
      </w:r>
      <w:proofErr w:type="spellStart"/>
      <w:r>
        <w:t>SolverTable</w:t>
      </w:r>
      <w:proofErr w:type="spellEnd"/>
      <w:r>
        <w:t xml:space="preserve"> prematurely by clicking No in the dialog box in Figure 5.</w:t>
      </w:r>
    </w:p>
    <w:p w14:paraId="2C7A55CD" w14:textId="14A1B98B" w:rsidR="00E2729D" w:rsidRDefault="00527202" w:rsidP="00924BD5">
      <w:pPr>
        <w:pStyle w:val="NormalWeb"/>
        <w:keepNext/>
        <w:rPr>
          <w:b/>
          <w:bCs/>
        </w:rPr>
      </w:pPr>
      <w:r>
        <w:rPr>
          <w:b/>
          <w:bCs/>
        </w:rPr>
        <w:lastRenderedPageBreak/>
        <w:t xml:space="preserve">Figure </w:t>
      </w:r>
      <w:r w:rsidR="0055718D">
        <w:rPr>
          <w:b/>
          <w:bCs/>
        </w:rPr>
        <w:t>9</w:t>
      </w:r>
    </w:p>
    <w:p w14:paraId="6C3A6958" w14:textId="238E7079" w:rsidR="00E2729D" w:rsidRDefault="0055718D">
      <w:pPr>
        <w:pStyle w:val="NormalWeb"/>
      </w:pPr>
      <w:r>
        <w:rPr>
          <w:noProof/>
        </w:rPr>
        <w:drawing>
          <wp:inline distT="0" distB="0" distL="0" distR="0" wp14:anchorId="2A7DA5E1" wp14:editId="4211DBFE">
            <wp:extent cx="5103628" cy="4010383"/>
            <wp:effectExtent l="0" t="0" r="0" b="0"/>
            <wp:docPr id="20" name="Picture 2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Tabl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109958" cy="4015357"/>
                    </a:xfrm>
                    <a:prstGeom prst="rect">
                      <a:avLst/>
                    </a:prstGeom>
                  </pic:spPr>
                </pic:pic>
              </a:graphicData>
            </a:graphic>
          </wp:inline>
        </w:drawing>
      </w:r>
    </w:p>
    <w:p w14:paraId="17E846F0" w14:textId="73E9B6DF" w:rsidR="00E2729D" w:rsidRDefault="00527202" w:rsidP="00924BD5">
      <w:pPr>
        <w:pStyle w:val="NormalWeb"/>
        <w:keepNext/>
        <w:rPr>
          <w:b/>
        </w:rPr>
      </w:pPr>
      <w:r>
        <w:rPr>
          <w:b/>
        </w:rPr>
        <w:t xml:space="preserve">Figure </w:t>
      </w:r>
      <w:r w:rsidR="0055718D">
        <w:rPr>
          <w:b/>
        </w:rPr>
        <w:t>10</w:t>
      </w:r>
    </w:p>
    <w:p w14:paraId="44F6234E" w14:textId="0CFD358E" w:rsidR="00E2729D" w:rsidRDefault="00505BD1">
      <w:pPr>
        <w:pStyle w:val="NormalWeb"/>
        <w:rPr>
          <w:b/>
        </w:rPr>
      </w:pPr>
      <w:r>
        <w:rPr>
          <w:b/>
          <w:noProof/>
        </w:rPr>
        <w:drawing>
          <wp:inline distT="0" distB="0" distL="0" distR="0" wp14:anchorId="68FC2F79" wp14:editId="092245DA">
            <wp:extent cx="5943600" cy="3223895"/>
            <wp:effectExtent l="0" t="0" r="0" b="0"/>
            <wp:docPr id="22" name="Picture 22"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application, table, Excel&#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943600" cy="3223895"/>
                    </a:xfrm>
                    <a:prstGeom prst="rect">
                      <a:avLst/>
                    </a:prstGeom>
                  </pic:spPr>
                </pic:pic>
              </a:graphicData>
            </a:graphic>
          </wp:inline>
        </w:drawing>
      </w:r>
    </w:p>
    <w:p w14:paraId="0FA5BAA5" w14:textId="77777777" w:rsidR="00E2729D" w:rsidRDefault="00527202">
      <w:pPr>
        <w:pStyle w:val="Heading2"/>
        <w:rPr>
          <w:rFonts w:eastAsia="Times New Roman"/>
        </w:rPr>
      </w:pPr>
      <w:bookmarkStart w:id="8" w:name="Creative"/>
      <w:bookmarkStart w:id="9" w:name="Difficulties"/>
      <w:bookmarkStart w:id="10" w:name="Other_notes"/>
      <w:bookmarkEnd w:id="8"/>
      <w:bookmarkEnd w:id="9"/>
      <w:bookmarkEnd w:id="10"/>
      <w:r>
        <w:rPr>
          <w:rFonts w:eastAsia="Times New Roman"/>
        </w:rPr>
        <w:lastRenderedPageBreak/>
        <w:t>Other Notes</w:t>
      </w:r>
    </w:p>
    <w:p w14:paraId="63F60BC7" w14:textId="7D279C5C" w:rsidR="00E2729D" w:rsidRDefault="00527202">
      <w:pPr>
        <w:numPr>
          <w:ilvl w:val="0"/>
          <w:numId w:val="8"/>
        </w:numPr>
        <w:spacing w:before="100" w:beforeAutospacing="1" w:after="100" w:afterAutospacing="1"/>
        <w:rPr>
          <w:rFonts w:eastAsia="Times New Roman"/>
        </w:rPr>
      </w:pPr>
      <w:r>
        <w:rPr>
          <w:rFonts w:eastAsia="Times New Roman"/>
        </w:rPr>
        <w:t xml:space="preserve">If you run a oneway table for a particular model and then run another, the settings dialog box show the </w:t>
      </w:r>
      <w:r>
        <w:rPr>
          <w:rFonts w:eastAsia="Times New Roman"/>
          <w:i/>
          <w:iCs/>
        </w:rPr>
        <w:t>previous</w:t>
      </w:r>
      <w:r>
        <w:rPr>
          <w:rFonts w:eastAsia="Times New Roman"/>
        </w:rPr>
        <w:t xml:space="preserve"> settings as a starting point. Of course, you can change any or all of these. The same is true if you have run a twoway table for a particular model. </w:t>
      </w:r>
    </w:p>
    <w:p w14:paraId="712EC834" w14:textId="77777777" w:rsidR="00E2729D" w:rsidRDefault="00527202">
      <w:pPr>
        <w:numPr>
          <w:ilvl w:val="0"/>
          <w:numId w:val="8"/>
        </w:numPr>
        <w:spacing w:before="100" w:beforeAutospacing="1" w:after="100" w:afterAutospacing="1"/>
        <w:rPr>
          <w:rFonts w:eastAsia="Times New Roman"/>
        </w:rPr>
      </w:pPr>
      <w:r>
        <w:rPr>
          <w:rFonts w:eastAsia="Times New Roman"/>
        </w:rPr>
        <w:t xml:space="preserve">When you run SolverTable, the active sheet should be the sheet the model is on. If you forget and run SolverTable when some other sheet is active, you can always cancel out of SolverTable and activate the model sheet. </w:t>
      </w:r>
    </w:p>
    <w:p w14:paraId="22E7824C" w14:textId="3E37C098" w:rsidR="00527202" w:rsidRDefault="00527202">
      <w:pPr>
        <w:pStyle w:val="NormalWeb"/>
      </w:pPr>
      <w:r>
        <w:rPr>
          <w:b/>
          <w:bCs/>
        </w:rPr>
        <w:t xml:space="preserve">Chris Albright, </w:t>
      </w:r>
      <w:r w:rsidR="00505BD1">
        <w:rPr>
          <w:b/>
          <w:bCs/>
        </w:rPr>
        <w:t xml:space="preserve">retired from </w:t>
      </w:r>
      <w:r>
        <w:rPr>
          <w:b/>
          <w:bCs/>
        </w:rPr>
        <w:t xml:space="preserve">Kelley School of Business, Indiana University, </w:t>
      </w:r>
      <w:hyperlink r:id="rId16" w:history="1">
        <w:r>
          <w:rPr>
            <w:rStyle w:val="Hyperlink"/>
            <w:b/>
            <w:bCs/>
          </w:rPr>
          <w:t>albright@indiana.edu</w:t>
        </w:r>
      </w:hyperlink>
      <w:r>
        <w:t xml:space="preserve">, </w:t>
      </w:r>
      <w:r w:rsidR="002443C6">
        <w:t>October 20</w:t>
      </w:r>
      <w:r w:rsidR="00505BD1">
        <w:t>20</w:t>
      </w:r>
    </w:p>
    <w:sectPr w:rsidR="00527202" w:rsidSect="00E272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069F"/>
    <w:multiLevelType w:val="hybridMultilevel"/>
    <w:tmpl w:val="B33A478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6DB2"/>
    <w:multiLevelType w:val="multilevel"/>
    <w:tmpl w:val="26F0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A808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84F73B1"/>
    <w:multiLevelType w:val="multilevel"/>
    <w:tmpl w:val="80605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16D428F"/>
    <w:multiLevelType w:val="multilevel"/>
    <w:tmpl w:val="2D348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EA271E7"/>
    <w:multiLevelType w:val="multilevel"/>
    <w:tmpl w:val="0A1C4E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4"/>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2D5ADA"/>
    <w:rsid w:val="000E19CA"/>
    <w:rsid w:val="000F12E5"/>
    <w:rsid w:val="00180F49"/>
    <w:rsid w:val="002443C6"/>
    <w:rsid w:val="002B5744"/>
    <w:rsid w:val="002D5ADA"/>
    <w:rsid w:val="003801A7"/>
    <w:rsid w:val="003D6D6A"/>
    <w:rsid w:val="003F40EA"/>
    <w:rsid w:val="00482FFD"/>
    <w:rsid w:val="00483F68"/>
    <w:rsid w:val="00491400"/>
    <w:rsid w:val="0050214B"/>
    <w:rsid w:val="00505BD1"/>
    <w:rsid w:val="00527202"/>
    <w:rsid w:val="0055718D"/>
    <w:rsid w:val="005B38FD"/>
    <w:rsid w:val="005C47B7"/>
    <w:rsid w:val="005D4552"/>
    <w:rsid w:val="006146FF"/>
    <w:rsid w:val="00643F15"/>
    <w:rsid w:val="00667C01"/>
    <w:rsid w:val="006B3F1C"/>
    <w:rsid w:val="006D5D9C"/>
    <w:rsid w:val="0070391D"/>
    <w:rsid w:val="007631D2"/>
    <w:rsid w:val="007A70E6"/>
    <w:rsid w:val="009060CF"/>
    <w:rsid w:val="00924BD5"/>
    <w:rsid w:val="00997419"/>
    <w:rsid w:val="009D7A71"/>
    <w:rsid w:val="009E7C6F"/>
    <w:rsid w:val="00A8562A"/>
    <w:rsid w:val="00C120B3"/>
    <w:rsid w:val="00C3081F"/>
    <w:rsid w:val="00DB372D"/>
    <w:rsid w:val="00E2729D"/>
    <w:rsid w:val="00ED3877"/>
    <w:rsid w:val="00F322E0"/>
    <w:rsid w:val="00FA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9295D"/>
  <w15:docId w15:val="{49696CA9-CF4A-4160-AAF8-4225AD033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A71"/>
    <w:pPr>
      <w:spacing w:after="120"/>
    </w:pPr>
    <w:rPr>
      <w:rFonts w:asciiTheme="minorHAnsi" w:eastAsiaTheme="minorEastAsia" w:hAnsiTheme="minorHAnsi"/>
      <w:sz w:val="22"/>
      <w:szCs w:val="24"/>
    </w:rPr>
  </w:style>
  <w:style w:type="paragraph" w:styleId="Heading1">
    <w:name w:val="heading 1"/>
    <w:basedOn w:val="Normal"/>
    <w:link w:val="Heading1Char"/>
    <w:uiPriority w:val="9"/>
    <w:qFormat/>
    <w:rsid w:val="00E2729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9D7A71"/>
    <w:pPr>
      <w:keepNext/>
      <w:spacing w:before="100" w:beforeAutospacing="1" w:after="100" w:afterAutospacing="1"/>
      <w:outlineLvl w:val="1"/>
    </w:pPr>
    <w:rPr>
      <w:b/>
      <w:bCs/>
      <w:sz w:val="28"/>
      <w:szCs w:val="36"/>
    </w:rPr>
  </w:style>
  <w:style w:type="paragraph" w:styleId="Heading3">
    <w:name w:val="heading 3"/>
    <w:basedOn w:val="Normal"/>
    <w:link w:val="Heading3Char"/>
    <w:uiPriority w:val="9"/>
    <w:qFormat/>
    <w:rsid w:val="00E2729D"/>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729D"/>
    <w:rPr>
      <w:color w:val="0000FF"/>
      <w:u w:val="single"/>
    </w:rPr>
  </w:style>
  <w:style w:type="character" w:styleId="FollowedHyperlink">
    <w:name w:val="FollowedHyperlink"/>
    <w:basedOn w:val="DefaultParagraphFont"/>
    <w:uiPriority w:val="99"/>
    <w:semiHidden/>
    <w:unhideWhenUsed/>
    <w:rsid w:val="00E2729D"/>
    <w:rPr>
      <w:color w:val="800080"/>
      <w:u w:val="single"/>
    </w:rPr>
  </w:style>
  <w:style w:type="character" w:customStyle="1" w:styleId="Heading1Char">
    <w:name w:val="Heading 1 Char"/>
    <w:basedOn w:val="DefaultParagraphFont"/>
    <w:link w:val="Heading1"/>
    <w:uiPriority w:val="9"/>
    <w:locked/>
    <w:rsid w:val="00E2729D"/>
    <w:rPr>
      <w:rFonts w:asciiTheme="majorHAnsi" w:eastAsiaTheme="majorEastAsia" w:hAnsiTheme="majorHAnsi" w:cstheme="majorBidi" w:hint="default"/>
      <w:b/>
      <w:bCs/>
      <w:color w:val="365F91" w:themeColor="accent1" w:themeShade="BF"/>
      <w:sz w:val="28"/>
      <w:szCs w:val="28"/>
    </w:rPr>
  </w:style>
  <w:style w:type="character" w:customStyle="1" w:styleId="Heading2Char">
    <w:name w:val="Heading 2 Char"/>
    <w:basedOn w:val="DefaultParagraphFont"/>
    <w:link w:val="Heading2"/>
    <w:uiPriority w:val="9"/>
    <w:locked/>
    <w:rsid w:val="009D7A71"/>
    <w:rPr>
      <w:rFonts w:asciiTheme="minorHAnsi" w:eastAsiaTheme="minorEastAsia" w:hAnsiTheme="minorHAnsi"/>
      <w:b/>
      <w:bCs/>
      <w:sz w:val="28"/>
      <w:szCs w:val="36"/>
    </w:rPr>
  </w:style>
  <w:style w:type="character" w:customStyle="1" w:styleId="Heading3Char">
    <w:name w:val="Heading 3 Char"/>
    <w:basedOn w:val="DefaultParagraphFont"/>
    <w:link w:val="Heading3"/>
    <w:uiPriority w:val="9"/>
    <w:semiHidden/>
    <w:locked/>
    <w:rsid w:val="00E2729D"/>
    <w:rPr>
      <w:rFonts w:asciiTheme="majorHAnsi" w:eastAsiaTheme="majorEastAsia" w:hAnsiTheme="majorHAnsi" w:cstheme="majorBidi" w:hint="default"/>
      <w:b/>
      <w:bCs/>
      <w:color w:val="4F81BD" w:themeColor="accent1"/>
      <w:sz w:val="24"/>
      <w:szCs w:val="24"/>
    </w:rPr>
  </w:style>
  <w:style w:type="paragraph" w:styleId="NormalWeb">
    <w:name w:val="Normal (Web)"/>
    <w:basedOn w:val="Normal"/>
    <w:uiPriority w:val="99"/>
    <w:semiHidden/>
    <w:unhideWhenUsed/>
    <w:rsid w:val="00E2729D"/>
    <w:pPr>
      <w:spacing w:before="100" w:beforeAutospacing="1" w:after="100" w:afterAutospacing="1"/>
    </w:pPr>
  </w:style>
  <w:style w:type="paragraph" w:styleId="CommentText">
    <w:name w:val="annotation text"/>
    <w:basedOn w:val="Normal"/>
    <w:link w:val="CommentTextChar"/>
    <w:uiPriority w:val="99"/>
    <w:semiHidden/>
    <w:unhideWhenUsed/>
    <w:rsid w:val="00E2729D"/>
    <w:rPr>
      <w:sz w:val="20"/>
      <w:szCs w:val="20"/>
    </w:rPr>
  </w:style>
  <w:style w:type="character" w:customStyle="1" w:styleId="CommentTextChar">
    <w:name w:val="Comment Text Char"/>
    <w:basedOn w:val="DefaultParagraphFont"/>
    <w:link w:val="CommentText"/>
    <w:uiPriority w:val="99"/>
    <w:semiHidden/>
    <w:locked/>
    <w:rsid w:val="00E2729D"/>
    <w:rPr>
      <w:rFonts w:ascii="Times New Roman" w:eastAsiaTheme="minorEastAsia" w:hAnsi="Times New Roman" w:cs="Times New Roman" w:hint="default"/>
    </w:rPr>
  </w:style>
  <w:style w:type="paragraph" w:styleId="CommentSubject">
    <w:name w:val="annotation subject"/>
    <w:basedOn w:val="CommentText"/>
    <w:next w:val="CommentText"/>
    <w:link w:val="CommentSubjectChar"/>
    <w:uiPriority w:val="99"/>
    <w:semiHidden/>
    <w:unhideWhenUsed/>
    <w:rsid w:val="00E2729D"/>
    <w:rPr>
      <w:b/>
      <w:bCs/>
    </w:rPr>
  </w:style>
  <w:style w:type="character" w:customStyle="1" w:styleId="CommentSubjectChar">
    <w:name w:val="Comment Subject Char"/>
    <w:basedOn w:val="CommentTextChar"/>
    <w:link w:val="CommentSubject"/>
    <w:uiPriority w:val="99"/>
    <w:semiHidden/>
    <w:locked/>
    <w:rsid w:val="00E2729D"/>
    <w:rPr>
      <w:rFonts w:ascii="Times New Roman" w:eastAsiaTheme="minorEastAsia" w:hAnsi="Times New Roman" w:cs="Times New Roman" w:hint="default"/>
      <w:b/>
      <w:bCs/>
    </w:rPr>
  </w:style>
  <w:style w:type="paragraph" w:styleId="BalloonText">
    <w:name w:val="Balloon Text"/>
    <w:basedOn w:val="Normal"/>
    <w:link w:val="BalloonTextChar"/>
    <w:uiPriority w:val="99"/>
    <w:semiHidden/>
    <w:unhideWhenUsed/>
    <w:rsid w:val="00E272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729D"/>
    <w:rPr>
      <w:rFonts w:ascii="Tahoma" w:eastAsiaTheme="minorEastAsia" w:hAnsi="Tahoma" w:cs="Tahoma" w:hint="default"/>
      <w:sz w:val="16"/>
      <w:szCs w:val="16"/>
    </w:rPr>
  </w:style>
  <w:style w:type="character" w:styleId="CommentReference">
    <w:name w:val="annotation reference"/>
    <w:basedOn w:val="DefaultParagraphFont"/>
    <w:uiPriority w:val="99"/>
    <w:semiHidden/>
    <w:unhideWhenUsed/>
    <w:rsid w:val="00E272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lbright@indiana.ed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2009-04-02T20:13:00Z</outs:dateTime>
      <outs:isPinned>true</outs:isPinned>
    </outs:relatedDate>
    <outs:relatedDate>
      <outs:type>2</outs:type>
      <outs:displayName>Created</outs:displayName>
      <outs:dateTime>2009-03-08T17:41:00Z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albright</outs:displayName>
          <outs:accountName/>
        </outs:relatedPerson>
      </outs:people>
      <outs:source>0</outs:source>
      <outs:isPinned>true</outs:isPinned>
    </outs:relatedPeopleItem>
    <outs:relatedPeopleItem>
      <outs:category>Last modified by</outs:category>
      <outs:people>
        <outs:relatedPerson>
          <outs:displayName>Chris Albright</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3E8A2C0B-D796-48BC-A470-E24E8B7DF2A9}">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9</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SolverTable Help</vt:lpstr>
    </vt:vector>
  </TitlesOfParts>
  <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SolverTable Help</dc:title>
  <dc:subject/>
  <dc:creator>albright</dc:creator>
  <cp:keywords/>
  <dc:description/>
  <cp:lastModifiedBy>Albright, S. Christian</cp:lastModifiedBy>
  <cp:revision>19</cp:revision>
  <dcterms:created xsi:type="dcterms:W3CDTF">2009-12-01T03:06:00Z</dcterms:created>
  <dcterms:modified xsi:type="dcterms:W3CDTF">2020-10-17T17:08:00Z</dcterms:modified>
</cp:coreProperties>
</file>